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51" w:rsidRDefault="00C14951" w:rsidP="00C14951">
      <w:pPr>
        <w:spacing w:after="0"/>
        <w:jc w:val="center"/>
        <w:rPr>
          <w:b/>
          <w:bCs/>
        </w:rPr>
      </w:pPr>
    </w:p>
    <w:p w:rsidR="00C14951" w:rsidRDefault="00C14951" w:rsidP="00C149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HULLADÉKSZÁLLÍTÁSSAL KAPCSOLATOS TUDNIVALÓK</w:t>
      </w:r>
    </w:p>
    <w:p w:rsidR="00C14951" w:rsidRDefault="00C14951" w:rsidP="00C149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951" w:rsidRDefault="00C14951" w:rsidP="00C1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Ópályi Község Önkormányzatának Képviselő-testület lehetősége szerint enyhíteni kíván a lakosokra kirótt közterheken, így tervezi kisebb űrméretű </w:t>
      </w:r>
      <w:proofErr w:type="spellStart"/>
      <w:r>
        <w:rPr>
          <w:rFonts w:ascii="Times New Roman" w:hAnsi="Times New Roman" w:cs="Times New Roman"/>
          <w:sz w:val="24"/>
          <w:szCs w:val="24"/>
        </w:rPr>
        <w:t>hulladékedényzet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(kukák) beszerzését, mely csökkentett térfogatú </w:t>
      </w:r>
      <w:proofErr w:type="spellStart"/>
      <w:r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ürítési díj csökkenését vonja maga után.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bevezetését megelőzően előzetes lakossági igényfelmérést fogunk végezni, mert az előkészítést, a szükséges </w:t>
      </w:r>
      <w:proofErr w:type="spellStart"/>
      <w:r>
        <w:rPr>
          <w:rFonts w:ascii="Times New Roman" w:hAnsi="Times New Roman" w:cs="Times New Roman"/>
          <w:sz w:val="24"/>
          <w:szCs w:val="24"/>
        </w:rPr>
        <w:t>edényzetek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beszerzését a konkrétumok ismeretében lehet hatékonyan, a helyi igényeknek megfelelően megvalósítani.</w:t>
      </w:r>
    </w:p>
    <w:p w:rsidR="00C14951" w:rsidRDefault="00C14951" w:rsidP="00C1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951" w:rsidRDefault="00C14951" w:rsidP="00C149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Kisebb űrméretű </w:t>
      </w:r>
      <w:proofErr w:type="spellStart"/>
      <w:r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igénybevétele esetén természetesen </w:t>
      </w:r>
      <w:r>
        <w:rPr>
          <w:rFonts w:ascii="Times New Roman" w:hAnsi="Times New Roman" w:cs="Times New Roman"/>
          <w:b/>
          <w:bCs/>
          <w:sz w:val="24"/>
          <w:szCs w:val="24"/>
        </w:rPr>
        <w:t>csökkentett díjtételek kerülnek alkalmazásra,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csökkentett díjak igénybevételének feltétele, hogy a vegyes kommunális hulladékot az ingatlantulajdonos által biztosított, a szemétszállítást végző cég (Észak-Alföldi Környezetgazdálkodási Kft., továbbiakban: Társaság)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nyilvántartásában rögzített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űrtartalmú szabvány gyűjtőedényből szállítsák el. </w:t>
      </w:r>
    </w:p>
    <w:p w:rsidR="00C14951" w:rsidRDefault="00C14951" w:rsidP="00C1495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951" w:rsidRDefault="00C14951" w:rsidP="00C1495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csökkentett díj számlázásához szükséges új gyűjtőedények megvásárolhatók lesznek több műanyagipari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termékeket árusító kereskedelmi egységekben.</w:t>
      </w:r>
    </w:p>
    <w:p w:rsidR="00C14951" w:rsidRDefault="00C14951" w:rsidP="00C1495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51" w:rsidRDefault="00C14951" w:rsidP="00C149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Társaság telephelyein az ingatlan tulajdonosa közvetlenül megvásárolhatja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60 vagy 80 l-es használt vagy új hulladékgyűjtő kukát (Telephelyek: Kisvárda – Hulladékkezelő telep, Nagyecsed Hulladékkezelő telep, Térségi Hulladék - Gazdálkodási Nonprofit Kft. Nyíregyháza, Bokréta u. 22. sz. telephelye), </w:t>
      </w:r>
    </w:p>
    <w:p w:rsidR="00C14951" w:rsidRDefault="00C14951" w:rsidP="00C149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51" w:rsidRDefault="00C14951" w:rsidP="00C149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Értékesítési ár: (várhatóan)</w:t>
      </w:r>
    </w:p>
    <w:p w:rsidR="00C14951" w:rsidRDefault="00C14951" w:rsidP="00C149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51" w:rsidRDefault="00C14951" w:rsidP="00C14951">
      <w:pPr>
        <w:numPr>
          <w:ilvl w:val="0"/>
          <w:numId w:val="1"/>
        </w:numPr>
        <w:suppressAutoHyphens w:val="0"/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Új edény esetén:</w:t>
      </w:r>
    </w:p>
    <w:p w:rsidR="00C14951" w:rsidRDefault="00C14951" w:rsidP="00C14951">
      <w:pPr>
        <w:suppressAutoHyphens w:val="0"/>
        <w:spacing w:after="0" w:line="240" w:lineRule="auto"/>
        <w:ind w:left="136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 l-es bruttó 9.000 Ft/ db</w:t>
      </w:r>
    </w:p>
    <w:p w:rsidR="00C14951" w:rsidRDefault="00C14951" w:rsidP="00C14951">
      <w:pPr>
        <w:numPr>
          <w:ilvl w:val="0"/>
          <w:numId w:val="1"/>
        </w:numPr>
        <w:suppressAutoHyphens w:val="0"/>
        <w:spacing w:after="0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Használt (újszerű állapotban lévő) edény esetén:</w:t>
      </w:r>
    </w:p>
    <w:p w:rsidR="00C14951" w:rsidRDefault="00C14951" w:rsidP="00C14951">
      <w:pPr>
        <w:suppressAutoHyphens w:val="0"/>
        <w:spacing w:after="0" w:line="240" w:lineRule="auto"/>
        <w:ind w:left="136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és 80 l-es bruttó 7.650 Ft/ db</w:t>
      </w:r>
    </w:p>
    <w:p w:rsidR="00C14951" w:rsidRDefault="00C14951" w:rsidP="00C149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951" w:rsidRDefault="00C14951" w:rsidP="00C149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tervezett ésszerűsítés megvalósul, az ürítések egységára,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edényzet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típusától függően várhatóan a táblázatban foglaltak szerint alakul:</w:t>
      </w:r>
    </w:p>
    <w:p w:rsidR="00C14951" w:rsidRDefault="00C14951" w:rsidP="00C1495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2"/>
        <w:gridCol w:w="2418"/>
        <w:gridCol w:w="2605"/>
      </w:tblGrid>
      <w:tr w:rsidR="00C14951" w:rsidTr="00C03947">
        <w:trPr>
          <w:trHeight w:val="978"/>
        </w:trPr>
        <w:tc>
          <w:tcPr>
            <w:tcW w:w="2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edényzet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térfogata</w:t>
            </w:r>
          </w:p>
          <w:p w:rsidR="00C14951" w:rsidRDefault="00C14951" w:rsidP="00C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(liter/edény)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ürítés nettó egységára</w:t>
            </w:r>
          </w:p>
          <w:p w:rsidR="00C14951" w:rsidRDefault="00C14951" w:rsidP="00C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(Ft/ürítés)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negyedéves bruttó ár</w:t>
            </w:r>
          </w:p>
          <w:p w:rsidR="00C14951" w:rsidRDefault="00C14951" w:rsidP="00C0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[13 ürítés/negyedév]</w:t>
            </w:r>
          </w:p>
          <w:p w:rsidR="00C14951" w:rsidRDefault="00C14951" w:rsidP="00C039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(Ft/negyedév)</w:t>
            </w:r>
          </w:p>
        </w:tc>
      </w:tr>
      <w:tr w:rsidR="00C14951" w:rsidTr="00C03947">
        <w:trPr>
          <w:trHeight w:val="284"/>
        </w:trPr>
        <w:tc>
          <w:tcPr>
            <w:tcW w:w="2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60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112,54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1 858</w:t>
            </w:r>
          </w:p>
        </w:tc>
      </w:tr>
      <w:tr w:rsidR="00C14951" w:rsidTr="00C03947">
        <w:trPr>
          <w:trHeight w:val="284"/>
        </w:trPr>
        <w:tc>
          <w:tcPr>
            <w:tcW w:w="2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80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150,05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2 477</w:t>
            </w:r>
          </w:p>
        </w:tc>
      </w:tr>
      <w:tr w:rsidR="00C14951" w:rsidTr="00C03947">
        <w:trPr>
          <w:trHeight w:val="284"/>
        </w:trPr>
        <w:tc>
          <w:tcPr>
            <w:tcW w:w="2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120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225,07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4951" w:rsidRDefault="00C14951" w:rsidP="00C03947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3 716</w:t>
            </w:r>
          </w:p>
        </w:tc>
      </w:tr>
    </w:tbl>
    <w:p w:rsidR="00C14951" w:rsidRDefault="00C14951" w:rsidP="00C1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51" w:rsidRDefault="00C14951" w:rsidP="00C1495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Kérjük, hogy a tisztelt lakosok az igényfelmérés során közreműködni szíveskedjenek! </w:t>
      </w:r>
      <w:r>
        <w:rPr>
          <w:rFonts w:ascii="Times New Roman" w:hAnsi="Times New Roman" w:cs="Times New Roman"/>
          <w:sz w:val="24"/>
          <w:szCs w:val="24"/>
        </w:rPr>
        <w:t>(Várható időpontja: 2016. április)</w:t>
      </w:r>
    </w:p>
    <w:p w:rsidR="002A77C6" w:rsidRDefault="002A77C6"/>
    <w:sectPr w:rsidR="002A77C6" w:rsidSect="00380BBF">
      <w:pgSz w:w="11906" w:h="16838"/>
      <w:pgMar w:top="0" w:right="720" w:bottom="0" w:left="720" w:header="708" w:footer="708" w:gutter="0"/>
      <w:cols w:space="708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951"/>
    <w:rsid w:val="00064E6D"/>
    <w:rsid w:val="002A77C6"/>
    <w:rsid w:val="00C1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951"/>
    <w:pPr>
      <w:suppressAutoHyphens/>
      <w:spacing w:after="160" w:line="254" w:lineRule="auto"/>
    </w:pPr>
    <w:rPr>
      <w:rFonts w:ascii="Calibri" w:eastAsia="Calibri" w:hAnsi="Calibri" w:cs="font292"/>
      <w:kern w:val="1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Miklós</dc:creator>
  <cp:lastModifiedBy>Erdélyi Miklós</cp:lastModifiedBy>
  <cp:revision>1</cp:revision>
  <dcterms:created xsi:type="dcterms:W3CDTF">2016-03-23T04:25:00Z</dcterms:created>
  <dcterms:modified xsi:type="dcterms:W3CDTF">2016-03-23T04:26:00Z</dcterms:modified>
</cp:coreProperties>
</file>